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 w:val="0"/>
        <w:jc w:val="both"/>
        <w:spacing w:before="0" w:line="276" w:lineRule="auto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Карельский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 филиал ПАО «Россети Северо-Запад» продолжает работу по предотвращению диверсий на энергообъектах 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 w:val="0"/>
        <w:ind w:firstLine="652"/>
        <w:jc w:val="both"/>
        <w:spacing w:before="0" w:after="0" w:afterAutospacing="0" w:line="276" w:lineRule="auto"/>
        <w:rPr>
          <w:rFonts w:ascii="Times New Roman" w:hAnsi="Times New Roman" w:eastAsia="Times New Roman" w:cs="Times New Roman"/>
          <w:sz w:val="25"/>
          <w:szCs w:val="25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sz w:val="25"/>
          <w:szCs w:val="25"/>
          <w:highlight w:val="none"/>
        </w:rPr>
      </w:r>
    </w:p>
    <w:p>
      <w:pPr>
        <w:contextualSpacing w:val="0"/>
        <w:ind w:firstLine="652"/>
        <w:jc w:val="both"/>
        <w:spacing w:before="0" w:after="0" w:afterAutospacing="0" w:line="276" w:lineRule="auto"/>
        <w:rPr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регионах России участились попытки незаконных действий диверсионного характера, направленных на повреждение объектов электроэнергетики. Преступники стараются склонить граждан к проникновению на территорию энергообъектов с целью нанесения ущерба имуществу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и совершения диверсий, в том числе через мессенджеры.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contextualSpacing w:val="0"/>
        <w:ind w:firstLine="652"/>
        <w:jc w:val="both"/>
        <w:spacing w:before="0" w:after="0" w:afterAutospacing="0" w:line="276" w:lineRule="auto"/>
        <w:rPr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ачастую преступники представляются сотрудниками органов безопасности, полиции или других служб, могут предлагать деньги за выполнение опасный заданий, а также шантажировать или под предлогом «спецоперации» вынуждать выполнять их указания. Одним из способов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совершения диверсий является вовлечение молодежи под психологическим воздействием, с помощью мошеннических схем и через Интернет.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contextualSpacing w:val="0"/>
        <w:ind w:firstLine="652"/>
        <w:jc w:val="both"/>
        <w:spacing w:before="0" w:after="0" w:afterAutospacing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Любое вмешательство в работу энергооборудования незаконно и влечет за собой тяжелые последствия, может быть расценено правоохранительными органами как диверсия, за совершение которой назначается наказание на срок от 10 до 20 лет лишения свободы.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Кроме того, законодательством РФ предусмотрена уголовная ответственность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за разрушение, повреждение или приведение иным способом в негодное для эксплуатации состояние объектов энергетики, если эти деяния совершены из корыстных или хулиганских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побуждений. За это может грозить наказание в виде  лишения свободы на срок до 3-х лет, а при отягчающих обстоятельствах – до 7 лет.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firstLine="652"/>
        <w:jc w:val="both"/>
        <w:spacing w:before="0" w:after="0" w:afterAutospacing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Линии электропередачи, подстанции, распределительные пункты и другое оборудование – являются источниками повышенной опасности. Напряжение в тысячи и десятки тысяч вольт смертельно опасно для человека даже при 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приближении к нему на недопустимое расстояние.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contextualSpacing w:val="0"/>
        <w:ind w:firstLine="652"/>
        <w:jc w:val="both"/>
        <w:spacing w:before="0" w:after="0" w:afterAutospacing="0" w:line="276" w:lineRule="auto"/>
        <w:rPr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Последствиями самовольного проникновения на территорию энергообъектов могут стать тяжелые травмы и даже гибель, а также нарушение работы электросетевого комплекса, отключение электроэнергии в домах и на важных социальных объектах.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contextualSpacing w:val="0"/>
        <w:ind w:firstLine="652"/>
        <w:jc w:val="both"/>
        <w:spacing w:before="0" w:after="0" w:afterAutospacing="0" w:line="276" w:lineRule="auto"/>
        <w:rPr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В связи с этим настоятельно предупреждаем о недопустимости и крайней опасности проникновения на территорию энергообъектов.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contextualSpacing w:val="0"/>
        <w:ind w:firstLine="652"/>
        <w:jc w:val="both"/>
        <w:spacing w:before="0" w:after="0" w:afterAutospacing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Если вы заметили подозрительные действия в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близи энергообъектов, незамедлительно сообщите об этом в правоохранительные органы! При подозрениях на склонение к диверсионным действиям необходимо обращаться в правоохранительные органы или по номеру 112, а также на горячую линию по телефону </w:t>
      </w:r>
      <w:r>
        <w:rPr>
          <w:rFonts w:ascii="Times New Roman" w:hAnsi="Times New Roman" w:eastAsia="Times New Roman" w:cs="Times New Roman"/>
          <w:b/>
          <w:bCs/>
          <w:i/>
          <w:iCs/>
          <w:color w:val="4472c4" w:themeColor="accent5"/>
          <w:sz w:val="28"/>
          <w:szCs w:val="28"/>
          <w:highlight w:val="white"/>
        </w:rPr>
        <w:t xml:space="preserve">(</w:t>
      </w:r>
      <w:r>
        <w:rPr>
          <w:rFonts w:ascii="Times New Roman" w:hAnsi="Times New Roman" w:eastAsia="Times New Roman" w:cs="Times New Roman"/>
          <w:b/>
          <w:bCs/>
          <w:i/>
          <w:iCs/>
          <w:color w:val="4472c4" w:themeColor="accent5"/>
          <w:sz w:val="28"/>
          <w:szCs w:val="28"/>
          <w:highlight w:val="white"/>
        </w:rPr>
        <w:t xml:space="preserve">8142) 59-90-90</w:t>
      </w:r>
      <w:r>
        <w:rPr>
          <w:rFonts w:ascii="Times New Roman" w:hAnsi="Times New Roman" w:eastAsia="Times New Roman" w:cs="Times New Roman"/>
          <w:b/>
          <w:bCs/>
          <w:i/>
          <w:iCs/>
          <w:color w:val="4472c4" w:themeColor="accent5"/>
          <w:sz w:val="28"/>
          <w:szCs w:val="28"/>
          <w:highlight w:val="white"/>
        </w:rPr>
        <w:t xml:space="preserve"> – круглосуточно, бесплатно)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after="0" w:afterAutospacing="0" w:line="240" w:lineRule="auto"/>
        <w:rPr>
          <w:rFonts w:ascii="Times New Roman" w:hAnsi="Times New Roman" w:eastAsia="Times New Roman" w:cs="Times New Roman"/>
          <w:b/>
          <w:bCs/>
          <w:i/>
          <w:color w:val="333333"/>
          <w:sz w:val="25"/>
          <w:szCs w:val="25"/>
          <w:highlight w:val="none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333333"/>
          <w:sz w:val="25"/>
          <w:szCs w:val="25"/>
          <w:highlight w:val="white"/>
        </w:rPr>
      </w:r>
      <w:r>
        <w:rPr>
          <w:rFonts w:ascii="Times New Roman" w:hAnsi="Times New Roman" w:eastAsia="Times New Roman" w:cs="Times New Roman"/>
          <w:b/>
          <w:bCs/>
          <w:i/>
          <w:color w:val="333333"/>
          <w:sz w:val="25"/>
          <w:szCs w:val="25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940425" cy="425269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2256956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 flipH="0" flipV="0">
                          <a:off x="0" y="0"/>
                          <a:ext cx="5940424" cy="42526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67.75pt;height:334.86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bCs/>
          <w:i/>
          <w:color w:val="333333"/>
          <w:sz w:val="25"/>
          <w:szCs w:val="25"/>
          <w:highlight w:val="none"/>
        </w:rPr>
      </w:r>
      <w:r>
        <w:rPr>
          <w:rFonts w:ascii="Times New Roman" w:hAnsi="Times New Roman" w:eastAsia="Times New Roman" w:cs="Times New Roman"/>
          <w:b/>
          <w:bCs/>
          <w:i/>
          <w:color w:val="333333"/>
          <w:sz w:val="25"/>
          <w:szCs w:val="25"/>
          <w:highlight w:val="none"/>
        </w:rPr>
      </w:r>
    </w:p>
    <w:sectPr>
      <w:footnotePr/>
      <w:endnotePr/>
      <w:type w:val="nextPage"/>
      <w:pgSz w:w="11906" w:h="16838" w:orient="portrait"/>
      <w:pgMar w:top="1276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0"/>
    <w:next w:val="830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0"/>
    <w:next w:val="830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0"/>
    <w:next w:val="830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0"/>
    <w:next w:val="830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0"/>
    <w:next w:val="830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0"/>
    <w:next w:val="830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0"/>
    <w:next w:val="830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0"/>
    <w:next w:val="830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0"/>
    <w:next w:val="830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Title"/>
    <w:basedOn w:val="830"/>
    <w:next w:val="830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3">
    <w:name w:val="Title Char"/>
    <w:link w:val="672"/>
    <w:uiPriority w:val="10"/>
    <w:rPr>
      <w:sz w:val="48"/>
      <w:szCs w:val="48"/>
    </w:rPr>
  </w:style>
  <w:style w:type="paragraph" w:styleId="674">
    <w:name w:val="Subtitle"/>
    <w:basedOn w:val="830"/>
    <w:next w:val="830"/>
    <w:link w:val="675"/>
    <w:uiPriority w:val="11"/>
    <w:qFormat/>
    <w:pPr>
      <w:spacing w:before="200" w:after="200"/>
    </w:pPr>
    <w:rPr>
      <w:sz w:val="24"/>
      <w:szCs w:val="24"/>
    </w:rPr>
  </w:style>
  <w:style w:type="character" w:styleId="675">
    <w:name w:val="Subtitle Char"/>
    <w:link w:val="674"/>
    <w:uiPriority w:val="11"/>
    <w:rPr>
      <w:sz w:val="24"/>
      <w:szCs w:val="24"/>
    </w:rPr>
  </w:style>
  <w:style w:type="paragraph" w:styleId="676">
    <w:name w:val="Quote"/>
    <w:basedOn w:val="830"/>
    <w:next w:val="830"/>
    <w:link w:val="677"/>
    <w:uiPriority w:val="29"/>
    <w:qFormat/>
    <w:pPr>
      <w:ind w:left="720" w:right="720"/>
    </w:pPr>
    <w:rPr>
      <w:i/>
    </w:rPr>
  </w:style>
  <w:style w:type="character" w:styleId="677">
    <w:name w:val="Quote Char"/>
    <w:link w:val="676"/>
    <w:uiPriority w:val="29"/>
    <w:rPr>
      <w:i/>
    </w:rPr>
  </w:style>
  <w:style w:type="paragraph" w:styleId="678">
    <w:name w:val="Intense Quote"/>
    <w:basedOn w:val="830"/>
    <w:next w:val="830"/>
    <w:link w:val="6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9">
    <w:name w:val="Intense Quote Char"/>
    <w:link w:val="678"/>
    <w:uiPriority w:val="30"/>
    <w:rPr>
      <w:i/>
    </w:rPr>
  </w:style>
  <w:style w:type="paragraph" w:styleId="680">
    <w:name w:val="Header"/>
    <w:basedOn w:val="830"/>
    <w:link w:val="6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Header Char"/>
    <w:link w:val="680"/>
    <w:uiPriority w:val="99"/>
  </w:style>
  <w:style w:type="paragraph" w:styleId="682">
    <w:name w:val="Footer"/>
    <w:basedOn w:val="830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Footer Char"/>
    <w:link w:val="682"/>
    <w:uiPriority w:val="99"/>
  </w:style>
  <w:style w:type="paragraph" w:styleId="684">
    <w:name w:val="Caption"/>
    <w:basedOn w:val="830"/>
    <w:next w:val="830"/>
    <w:link w:val="6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5">
    <w:name w:val="Caption Char"/>
    <w:link w:val="684"/>
    <w:uiPriority w:val="35"/>
    <w:rPr>
      <w:b/>
      <w:bCs/>
      <w:color w:val="4f81bd" w:themeColor="accent1"/>
      <w:sz w:val="18"/>
      <w:szCs w:val="18"/>
    </w:rPr>
  </w:style>
  <w:style w:type="table" w:styleId="686">
    <w:name w:val="Table Grid"/>
    <w:basedOn w:val="8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7">
    <w:name w:val="Table Grid Light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8">
    <w:name w:val="Plain Table 1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2"/>
    <w:basedOn w:val="8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0">
    <w:name w:val="Plain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1">
    <w:name w:val="Plain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Plain Table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3">
    <w:name w:val="Grid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5">
    <w:name w:val="Grid Table 4 - Accent 1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6">
    <w:name w:val="Grid Table 4 - Accent 2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7">
    <w:name w:val="Grid Table 4 - Accent 3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8">
    <w:name w:val="Grid Table 4 - Accent 4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9">
    <w:name w:val="Grid Table 4 - Accent 5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0">
    <w:name w:val="Grid Table 4 - Accent 6"/>
    <w:basedOn w:val="8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1">
    <w:name w:val="Grid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2">
    <w:name w:val="Grid Table 5 Dark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3">
    <w:name w:val="Grid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28">
    <w:name w:val="Grid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9">
    <w:name w:val="Grid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0">
    <w:name w:val="Grid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1">
    <w:name w:val="Grid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2">
    <w:name w:val="Grid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3">
    <w:name w:val="Grid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4">
    <w:name w:val="Grid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5">
    <w:name w:val="Grid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0">
    <w:name w:val="List Table 2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1">
    <w:name w:val="List Table 2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2">
    <w:name w:val="List Table 2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3">
    <w:name w:val="List Table 2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4">
    <w:name w:val="List Table 2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5">
    <w:name w:val="List Table 2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6">
    <w:name w:val="List Table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5 Dark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6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8">
    <w:name w:val="List Table 6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9">
    <w:name w:val="List Table 6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List Table 6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1">
    <w:name w:val="List Table 6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List Table 6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3">
    <w:name w:val="List Table 6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4">
    <w:name w:val="List Table 7 Colorful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5">
    <w:name w:val="List Table 7 Colorful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6">
    <w:name w:val="List Table 7 Colorful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7">
    <w:name w:val="List Table 7 Colorful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88">
    <w:name w:val="List Table 7 Colorful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89">
    <w:name w:val="List Table 7 Colorful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0">
    <w:name w:val="List Table 7 Colorful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1">
    <w:name w:val="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2">
    <w:name w:val="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3">
    <w:name w:val="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4">
    <w:name w:val="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5">
    <w:name w:val="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6">
    <w:name w:val="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7">
    <w:name w:val="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798">
    <w:name w:val="Bordered &amp; Lined - Accent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Bordered &amp; Lined - Accent 1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0">
    <w:name w:val="Bordered &amp; Lined - Accent 2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1">
    <w:name w:val="Bordered &amp; Lined - Accent 3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2">
    <w:name w:val="Bordered &amp; Lined - Accent 4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3">
    <w:name w:val="Bordered &amp; Lined - Accent 5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4">
    <w:name w:val="Bordered &amp; Lined - Accent 6"/>
    <w:basedOn w:val="8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5">
    <w:name w:val="Bordered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6">
    <w:name w:val="Bordered - Accent 1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7">
    <w:name w:val="Bordered - Accent 2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8">
    <w:name w:val="Bordered - Accent 3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9">
    <w:name w:val="Bordered - Accent 4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0">
    <w:name w:val="Bordered - Accent 5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1">
    <w:name w:val="Bordered - Accent 6"/>
    <w:basedOn w:val="8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2">
    <w:name w:val="Hyperlink"/>
    <w:uiPriority w:val="99"/>
    <w:unhideWhenUsed/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spacing w:after="40" w:line="240" w:lineRule="auto"/>
    </w:pPr>
    <w:rPr>
      <w:sz w:val="18"/>
    </w:rPr>
  </w:style>
  <w:style w:type="character" w:styleId="814">
    <w:name w:val="Footnote Text Char"/>
    <w:link w:val="813"/>
    <w:uiPriority w:val="99"/>
    <w:rPr>
      <w:sz w:val="18"/>
    </w:rPr>
  </w:style>
  <w:style w:type="character" w:styleId="815">
    <w:name w:val="footnote reference"/>
    <w:uiPriority w:val="99"/>
    <w:unhideWhenUsed/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spacing w:after="0" w:line="240" w:lineRule="auto"/>
    </w:pPr>
    <w:rPr>
      <w:sz w:val="20"/>
    </w:rPr>
  </w:style>
  <w:style w:type="character" w:styleId="817">
    <w:name w:val="Endnote Text Char"/>
    <w:link w:val="816"/>
    <w:uiPriority w:val="99"/>
    <w:rPr>
      <w:sz w:val="20"/>
    </w:rPr>
  </w:style>
  <w:style w:type="character" w:styleId="818">
    <w:name w:val="endnote reference"/>
    <w:uiPriority w:val="99"/>
    <w:semiHidden/>
    <w:unhideWhenUsed/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ind w:left="0" w:right="0" w:firstLine="0"/>
      <w:spacing w:after="57"/>
    </w:pPr>
  </w:style>
  <w:style w:type="paragraph" w:styleId="820">
    <w:name w:val="toc 2"/>
    <w:basedOn w:val="830"/>
    <w:next w:val="830"/>
    <w:uiPriority w:val="39"/>
    <w:unhideWhenUsed/>
    <w:pPr>
      <w:ind w:left="283" w:right="0" w:firstLine="0"/>
      <w:spacing w:after="57"/>
    </w:pPr>
  </w:style>
  <w:style w:type="paragraph" w:styleId="821">
    <w:name w:val="toc 3"/>
    <w:basedOn w:val="830"/>
    <w:next w:val="830"/>
    <w:uiPriority w:val="39"/>
    <w:unhideWhenUsed/>
    <w:pPr>
      <w:ind w:left="567" w:right="0" w:firstLine="0"/>
      <w:spacing w:after="57"/>
    </w:pPr>
  </w:style>
  <w:style w:type="paragraph" w:styleId="822">
    <w:name w:val="toc 4"/>
    <w:basedOn w:val="830"/>
    <w:next w:val="830"/>
    <w:uiPriority w:val="39"/>
    <w:unhideWhenUsed/>
    <w:pPr>
      <w:ind w:left="850" w:right="0" w:firstLine="0"/>
      <w:spacing w:after="57"/>
    </w:pPr>
  </w:style>
  <w:style w:type="paragraph" w:styleId="823">
    <w:name w:val="toc 5"/>
    <w:basedOn w:val="830"/>
    <w:next w:val="830"/>
    <w:uiPriority w:val="39"/>
    <w:unhideWhenUsed/>
    <w:pPr>
      <w:ind w:left="1134" w:right="0" w:firstLine="0"/>
      <w:spacing w:after="57"/>
    </w:pPr>
  </w:style>
  <w:style w:type="paragraph" w:styleId="824">
    <w:name w:val="toc 6"/>
    <w:basedOn w:val="830"/>
    <w:next w:val="830"/>
    <w:uiPriority w:val="39"/>
    <w:unhideWhenUsed/>
    <w:pPr>
      <w:ind w:left="1417" w:right="0" w:firstLine="0"/>
      <w:spacing w:after="57"/>
    </w:pPr>
  </w:style>
  <w:style w:type="paragraph" w:styleId="825">
    <w:name w:val="toc 7"/>
    <w:basedOn w:val="830"/>
    <w:next w:val="830"/>
    <w:uiPriority w:val="39"/>
    <w:unhideWhenUsed/>
    <w:pPr>
      <w:ind w:left="1701" w:right="0" w:firstLine="0"/>
      <w:spacing w:after="57"/>
    </w:pPr>
  </w:style>
  <w:style w:type="paragraph" w:styleId="826">
    <w:name w:val="toc 8"/>
    <w:basedOn w:val="830"/>
    <w:next w:val="830"/>
    <w:uiPriority w:val="39"/>
    <w:unhideWhenUsed/>
    <w:pPr>
      <w:ind w:left="1984" w:right="0" w:firstLine="0"/>
      <w:spacing w:after="57"/>
    </w:pPr>
  </w:style>
  <w:style w:type="paragraph" w:styleId="827">
    <w:name w:val="toc 9"/>
    <w:basedOn w:val="830"/>
    <w:next w:val="830"/>
    <w:uiPriority w:val="39"/>
    <w:unhideWhenUsed/>
    <w:pPr>
      <w:ind w:left="2268" w:right="0" w:firstLine="0"/>
      <w:spacing w:after="57"/>
    </w:pPr>
  </w:style>
  <w:style w:type="paragraph" w:styleId="828">
    <w:name w:val="TOC Heading"/>
    <w:uiPriority w:val="39"/>
    <w:unhideWhenUsed/>
  </w:style>
  <w:style w:type="paragraph" w:styleId="829">
    <w:name w:val="table of figures"/>
    <w:basedOn w:val="830"/>
    <w:next w:val="830"/>
    <w:uiPriority w:val="99"/>
    <w:unhideWhenUsed/>
    <w:pPr>
      <w:spacing w:after="0" w:afterAutospacing="0"/>
    </w:pPr>
  </w:style>
  <w:style w:type="paragraph" w:styleId="830" w:default="1">
    <w:name w:val="Normal"/>
    <w:qFormat/>
  </w:style>
  <w:style w:type="table" w:styleId="8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2" w:default="1">
    <w:name w:val="No List"/>
    <w:uiPriority w:val="99"/>
    <w:semiHidden/>
    <w:unhideWhenUsed/>
  </w:style>
  <w:style w:type="paragraph" w:styleId="833">
    <w:name w:val="No Spacing"/>
    <w:basedOn w:val="830"/>
    <w:uiPriority w:val="1"/>
    <w:qFormat/>
    <w:pPr>
      <w:spacing w:after="0" w:line="240" w:lineRule="auto"/>
    </w:pPr>
  </w:style>
  <w:style w:type="paragraph" w:styleId="834">
    <w:name w:val="List Paragraph"/>
    <w:basedOn w:val="830"/>
    <w:uiPriority w:val="34"/>
    <w:qFormat/>
    <w:pPr>
      <w:contextualSpacing/>
      <w:ind w:left="720"/>
    </w:pPr>
  </w:style>
  <w:style w:type="character" w:styleId="835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2026-03-27T05:12:32Z</dcterms:modified>
</cp:coreProperties>
</file>